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F1CD" w14:textId="4F89AC58" w:rsidR="00E56457" w:rsidRPr="008F2B8E" w:rsidRDefault="00E56457" w:rsidP="0029003D">
      <w:pPr>
        <w:pStyle w:val="Heading1"/>
        <w:pBdr>
          <w:bottom w:val="single" w:sz="4" w:space="1" w:color="auto"/>
        </w:pBdr>
        <w:spacing w:after="240"/>
        <w:rPr>
          <w:b/>
          <w:bCs/>
          <w:sz w:val="40"/>
          <w:szCs w:val="40"/>
          <w:lang w:eastAsia="zh-CN"/>
        </w:rPr>
      </w:pPr>
      <w:bookmarkStart w:id="0" w:name="_Toc88745046"/>
      <w:bookmarkStart w:id="1" w:name="_Toc88745114"/>
      <w:r w:rsidRPr="008F2B8E">
        <w:rPr>
          <w:b/>
          <w:bCs/>
          <w:sz w:val="40"/>
          <w:szCs w:val="40"/>
          <w:lang w:eastAsia="zh-CN"/>
        </w:rPr>
        <w:t>ADCET BVI Guidelines - Terms</w:t>
      </w:r>
      <w:bookmarkEnd w:id="0"/>
      <w:bookmarkEnd w:id="1"/>
      <w:r w:rsidR="0029003D" w:rsidRPr="008F2B8E">
        <w:rPr>
          <w:b/>
          <w:bCs/>
          <w:sz w:val="40"/>
          <w:szCs w:val="40"/>
          <w:lang w:eastAsia="zh-CN"/>
        </w:rPr>
        <w:t xml:space="preserve"> and Abbreviations</w:t>
      </w:r>
    </w:p>
    <w:p w14:paraId="625E181E" w14:textId="26CA12CB" w:rsidR="00E56457" w:rsidRPr="0029003D" w:rsidRDefault="0029003D" w:rsidP="0029003D">
      <w:pPr>
        <w:spacing w:before="240" w:after="120" w:line="276" w:lineRule="auto"/>
        <w:rPr>
          <w:rFonts w:eastAsiaTheme="minorEastAsia" w:cstheme="minorHAnsi"/>
          <w:sz w:val="24"/>
          <w:szCs w:val="24"/>
          <w:lang w:eastAsia="zh-CN"/>
        </w:rPr>
      </w:pPr>
      <w:r w:rsidRPr="0029003D">
        <w:rPr>
          <w:rStyle w:val="Heading2Char"/>
          <w:b/>
          <w:bCs/>
          <w:sz w:val="32"/>
          <w:szCs w:val="32"/>
        </w:rPr>
        <w:t>Terms</w:t>
      </w:r>
      <w:r w:rsidRPr="0029003D">
        <w:rPr>
          <w:rFonts w:eastAsiaTheme="minorEastAsia" w:cstheme="minorHAnsi"/>
          <w:sz w:val="24"/>
          <w:szCs w:val="24"/>
          <w:lang w:eastAsia="zh-CN"/>
        </w:rPr>
        <w:br/>
      </w:r>
      <w:r w:rsidR="00E56457" w:rsidRPr="0029003D">
        <w:rPr>
          <w:rFonts w:eastAsiaTheme="minorEastAsia" w:cstheme="minorHAnsi"/>
          <w:b/>
          <w:bCs/>
          <w:sz w:val="24"/>
          <w:szCs w:val="24"/>
          <w:lang w:eastAsia="zh-CN"/>
        </w:rPr>
        <w:t>access barriers:</w:t>
      </w:r>
      <w:r w:rsidR="00E56457" w:rsidRPr="0029003D">
        <w:rPr>
          <w:rFonts w:eastAsiaTheme="minorEastAsia" w:cstheme="minorHAnsi"/>
          <w:sz w:val="24"/>
          <w:szCs w:val="24"/>
          <w:lang w:eastAsia="zh-CN"/>
        </w:rPr>
        <w:t xml:space="preserve"> Environmental barriers that prevent people with disability from using or accessing knowledge and resources in the same way as people without disability.  </w:t>
      </w:r>
    </w:p>
    <w:p w14:paraId="4ED01E26" w14:textId="77777777" w:rsidR="00E56457" w:rsidRPr="0029003D" w:rsidRDefault="00E56457" w:rsidP="00E56457">
      <w:pPr>
        <w:spacing w:line="276" w:lineRule="auto"/>
        <w:rPr>
          <w:rFonts w:eastAsiaTheme="minorEastAsia" w:cstheme="minorHAnsi"/>
          <w:sz w:val="24"/>
          <w:szCs w:val="24"/>
          <w:lang w:eastAsia="zh-CN"/>
        </w:rPr>
      </w:pPr>
      <w:r w:rsidRPr="0029003D">
        <w:rPr>
          <w:rFonts w:eastAsiaTheme="minorEastAsia" w:cstheme="minorHAnsi"/>
          <w:b/>
          <w:bCs/>
          <w:sz w:val="24"/>
          <w:szCs w:val="24"/>
          <w:lang w:eastAsia="zh-CN"/>
        </w:rPr>
        <w:t>Access Plan:</w:t>
      </w:r>
      <w:r w:rsidRPr="0029003D">
        <w:rPr>
          <w:rFonts w:eastAsiaTheme="minorEastAsia" w:cstheme="minorHAnsi"/>
          <w:sz w:val="24"/>
          <w:szCs w:val="24"/>
          <w:lang w:eastAsia="zh-CN"/>
        </w:rPr>
        <w:t xml:space="preserve"> A document used to record reasonable adjustments to enable equitable participation in learning for students with disability.</w:t>
      </w:r>
    </w:p>
    <w:p w14:paraId="21217D2F" w14:textId="2C57263B" w:rsidR="00E56457" w:rsidRPr="0029003D" w:rsidRDefault="00326D5C" w:rsidP="00E56457">
      <w:pPr>
        <w:spacing w:line="276" w:lineRule="auto"/>
        <w:rPr>
          <w:rFonts w:eastAsiaTheme="minorEastAsia" w:cstheme="minorHAnsi"/>
          <w:sz w:val="24"/>
          <w:szCs w:val="24"/>
          <w:lang w:eastAsia="zh-CN"/>
        </w:rPr>
      </w:pPr>
      <w:r>
        <w:rPr>
          <w:rFonts w:eastAsiaTheme="minorEastAsia" w:cstheme="minorHAnsi"/>
          <w:b/>
          <w:bCs/>
          <w:sz w:val="24"/>
          <w:szCs w:val="24"/>
          <w:lang w:eastAsia="zh-CN"/>
        </w:rPr>
        <w:t>a</w:t>
      </w:r>
      <w:r w:rsidRPr="0029003D">
        <w:rPr>
          <w:rFonts w:eastAsiaTheme="minorEastAsia" w:cstheme="minorHAnsi"/>
          <w:b/>
          <w:bCs/>
          <w:sz w:val="24"/>
          <w:szCs w:val="24"/>
          <w:lang w:eastAsia="zh-CN"/>
        </w:rPr>
        <w:t>ccessible</w:t>
      </w:r>
      <w:r>
        <w:rPr>
          <w:rFonts w:eastAsiaTheme="minorEastAsia" w:cstheme="minorHAnsi"/>
          <w:b/>
          <w:bCs/>
          <w:sz w:val="24"/>
          <w:szCs w:val="24"/>
          <w:lang w:eastAsia="zh-CN"/>
        </w:rPr>
        <w:t xml:space="preserve">/alternative </w:t>
      </w:r>
      <w:r w:rsidR="00E56457" w:rsidRPr="0029003D">
        <w:rPr>
          <w:rFonts w:eastAsiaTheme="minorEastAsia" w:cstheme="minorHAnsi"/>
          <w:b/>
          <w:bCs/>
          <w:sz w:val="24"/>
          <w:szCs w:val="24"/>
          <w:lang w:eastAsia="zh-CN"/>
        </w:rPr>
        <w:t xml:space="preserve"> format:</w:t>
      </w:r>
      <w:r w:rsidR="00E56457" w:rsidRPr="0029003D">
        <w:rPr>
          <w:rFonts w:eastAsiaTheme="minorEastAsia" w:cstheme="minorHAnsi"/>
          <w:sz w:val="24"/>
          <w:szCs w:val="24"/>
          <w:lang w:eastAsia="zh-CN"/>
        </w:rPr>
        <w:t xml:space="preserve"> </w:t>
      </w:r>
      <w:r>
        <w:rPr>
          <w:rFonts w:eastAsiaTheme="minorEastAsia" w:cstheme="minorHAnsi"/>
          <w:sz w:val="24"/>
          <w:szCs w:val="24"/>
          <w:lang w:eastAsia="zh-CN"/>
        </w:rPr>
        <w:t>M</w:t>
      </w:r>
      <w:r w:rsidR="00E56457" w:rsidRPr="0029003D">
        <w:rPr>
          <w:rFonts w:eastAsiaTheme="minorEastAsia" w:cstheme="minorHAnsi"/>
          <w:sz w:val="24"/>
          <w:szCs w:val="24"/>
          <w:lang w:eastAsia="zh-CN"/>
        </w:rPr>
        <w:t>aterial that has been reformatted to be accessible to people who are blind or vision impaired. Formats can include audio, braille, large print, Word format or tactile images.</w:t>
      </w:r>
    </w:p>
    <w:p w14:paraId="1CCC44B3" w14:textId="77777777" w:rsidR="00E56457" w:rsidRPr="0029003D" w:rsidRDefault="00E56457" w:rsidP="00E56457">
      <w:pPr>
        <w:spacing w:line="276" w:lineRule="auto"/>
        <w:rPr>
          <w:rFonts w:eastAsiaTheme="minorEastAsia" w:cstheme="minorHAnsi"/>
          <w:sz w:val="24"/>
          <w:szCs w:val="24"/>
          <w:lang w:eastAsia="zh-CN"/>
        </w:rPr>
      </w:pPr>
      <w:r w:rsidRPr="0029003D">
        <w:rPr>
          <w:rFonts w:eastAsiaTheme="minorEastAsia" w:cstheme="minorHAnsi"/>
          <w:b/>
          <w:bCs/>
          <w:sz w:val="24"/>
          <w:szCs w:val="24"/>
          <w:lang w:eastAsia="zh-CN"/>
        </w:rPr>
        <w:t>adaptive/assistive technology:</w:t>
      </w:r>
      <w:r w:rsidRPr="0029003D">
        <w:rPr>
          <w:rFonts w:eastAsiaTheme="minorEastAsia" w:cstheme="minorHAnsi"/>
          <w:sz w:val="24"/>
          <w:szCs w:val="24"/>
          <w:lang w:eastAsia="zh-CN"/>
        </w:rPr>
        <w:t xml:space="preserve"> specialist hardware and/or software developed to enable access for people with disability. This technology can include braille displays, text magnification software, OCR conversion software or text-to-speech software.  </w:t>
      </w:r>
    </w:p>
    <w:p w14:paraId="63744B96" w14:textId="47F4F694" w:rsidR="00E56457" w:rsidRPr="0029003D" w:rsidRDefault="00E56457" w:rsidP="00E56457">
      <w:pPr>
        <w:spacing w:line="276" w:lineRule="auto"/>
        <w:rPr>
          <w:rFonts w:eastAsiaTheme="minorEastAsia" w:cstheme="minorHAnsi"/>
          <w:sz w:val="24"/>
          <w:szCs w:val="24"/>
          <w:lang w:eastAsia="zh-CN"/>
        </w:rPr>
      </w:pPr>
      <w:r w:rsidRPr="0029003D">
        <w:rPr>
          <w:rFonts w:eastAsiaTheme="minorEastAsia" w:cstheme="minorHAnsi"/>
          <w:b/>
          <w:bCs/>
          <w:sz w:val="24"/>
          <w:szCs w:val="24"/>
          <w:lang w:eastAsia="zh-CN"/>
        </w:rPr>
        <w:t>alternative formatting services</w:t>
      </w:r>
      <w:r w:rsidRPr="0029003D">
        <w:rPr>
          <w:rFonts w:eastAsiaTheme="minorEastAsia" w:cstheme="minorHAnsi"/>
          <w:sz w:val="24"/>
          <w:szCs w:val="24"/>
          <w:lang w:eastAsia="zh-CN"/>
        </w:rPr>
        <w:t xml:space="preserve">: Services provided by TAFE colleges, universities and </w:t>
      </w:r>
      <w:r w:rsidR="00326D5C">
        <w:rPr>
          <w:rFonts w:eastAsiaTheme="minorEastAsia" w:cstheme="minorHAnsi"/>
          <w:sz w:val="24"/>
          <w:szCs w:val="24"/>
          <w:lang w:eastAsia="zh-CN"/>
        </w:rPr>
        <w:t>third</w:t>
      </w:r>
      <w:r w:rsidR="00991552">
        <w:rPr>
          <w:rFonts w:eastAsiaTheme="minorEastAsia" w:cstheme="minorHAnsi"/>
          <w:sz w:val="24"/>
          <w:szCs w:val="24"/>
          <w:lang w:eastAsia="zh-CN"/>
        </w:rPr>
        <w:t>-</w:t>
      </w:r>
      <w:r w:rsidR="00326D5C">
        <w:rPr>
          <w:rFonts w:eastAsiaTheme="minorEastAsia" w:cstheme="minorHAnsi"/>
          <w:sz w:val="24"/>
          <w:szCs w:val="24"/>
          <w:lang w:eastAsia="zh-CN"/>
        </w:rPr>
        <w:t xml:space="preserve"> party</w:t>
      </w:r>
      <w:r w:rsidR="00326D5C" w:rsidRPr="0029003D">
        <w:rPr>
          <w:rFonts w:eastAsiaTheme="minorEastAsia" w:cstheme="minorHAnsi"/>
          <w:sz w:val="24"/>
          <w:szCs w:val="24"/>
          <w:lang w:eastAsia="zh-CN"/>
        </w:rPr>
        <w:t xml:space="preserve"> </w:t>
      </w:r>
      <w:r w:rsidRPr="0029003D">
        <w:rPr>
          <w:rFonts w:eastAsiaTheme="minorEastAsia" w:cstheme="minorHAnsi"/>
          <w:sz w:val="24"/>
          <w:szCs w:val="24"/>
          <w:lang w:eastAsia="zh-CN"/>
        </w:rPr>
        <w:t>services that convert documents into accessible formats that can be read by people who are blind or vision impaired.</w:t>
      </w:r>
    </w:p>
    <w:p w14:paraId="74741BEC" w14:textId="7820F852" w:rsidR="00D65389" w:rsidRPr="0029003D" w:rsidRDefault="00D65389" w:rsidP="00D65389">
      <w:pPr>
        <w:spacing w:line="276" w:lineRule="auto"/>
        <w:rPr>
          <w:rFonts w:eastAsiaTheme="minorEastAsia" w:cstheme="minorHAnsi"/>
          <w:b/>
          <w:bCs/>
          <w:sz w:val="24"/>
          <w:szCs w:val="24"/>
          <w:lang w:eastAsia="zh-CN"/>
        </w:rPr>
      </w:pPr>
      <w:r w:rsidRPr="0029003D">
        <w:rPr>
          <w:rFonts w:eastAsiaTheme="minorEastAsia" w:cstheme="minorHAnsi"/>
          <w:b/>
          <w:bCs/>
          <w:sz w:val="24"/>
          <w:szCs w:val="24"/>
          <w:lang w:eastAsia="zh-CN"/>
        </w:rPr>
        <w:t xml:space="preserve">blind: </w:t>
      </w:r>
      <w:r w:rsidRPr="0029003D">
        <w:rPr>
          <w:rFonts w:eastAsiaTheme="minorEastAsia" w:cstheme="minorHAnsi"/>
          <w:sz w:val="24"/>
          <w:szCs w:val="24"/>
          <w:lang w:eastAsia="zh-CN"/>
        </w:rPr>
        <w:t xml:space="preserve">a person is considered legally blind if they cannot see at six metres what someone with normal vision can see at 60 metres or if their field of vision is less than 20 degrees in diameter (Source: </w:t>
      </w:r>
      <w:hyperlink r:id="rId6" w:history="1">
        <w:r w:rsidRPr="0029003D">
          <w:rPr>
            <w:rStyle w:val="Hyperlink"/>
            <w:rFonts w:eastAsiaTheme="minorEastAsia" w:cstheme="minorHAnsi"/>
            <w:sz w:val="24"/>
            <w:szCs w:val="24"/>
            <w:lang w:eastAsia="zh-CN"/>
          </w:rPr>
          <w:t>Vision Australia</w:t>
        </w:r>
      </w:hyperlink>
      <w:r w:rsidRPr="0029003D">
        <w:rPr>
          <w:rFonts w:eastAsiaTheme="minorEastAsia" w:cstheme="minorHAnsi"/>
          <w:sz w:val="24"/>
          <w:szCs w:val="24"/>
          <w:lang w:eastAsia="zh-CN"/>
        </w:rPr>
        <w:t>).</w:t>
      </w:r>
    </w:p>
    <w:p w14:paraId="7F849B0C" w14:textId="0DD1C2C6" w:rsidR="00E56457" w:rsidRPr="0029003D" w:rsidRDefault="00E56457" w:rsidP="00E56457">
      <w:pPr>
        <w:spacing w:line="276" w:lineRule="auto"/>
        <w:rPr>
          <w:rFonts w:eastAsiaTheme="minorEastAsia" w:cstheme="minorHAnsi"/>
          <w:sz w:val="24"/>
          <w:szCs w:val="24"/>
          <w:lang w:eastAsia="zh-CN"/>
        </w:rPr>
      </w:pPr>
      <w:r w:rsidRPr="0029003D">
        <w:rPr>
          <w:rFonts w:eastAsiaTheme="minorEastAsia" w:cstheme="minorHAnsi"/>
          <w:b/>
          <w:bCs/>
          <w:sz w:val="24"/>
          <w:szCs w:val="24"/>
          <w:lang w:eastAsia="zh-CN"/>
        </w:rPr>
        <w:t>disability advisor:</w:t>
      </w:r>
      <w:r w:rsidRPr="0029003D">
        <w:rPr>
          <w:rFonts w:eastAsiaTheme="minorEastAsia" w:cstheme="minorHAnsi"/>
          <w:sz w:val="24"/>
          <w:szCs w:val="24"/>
          <w:lang w:eastAsia="zh-CN"/>
        </w:rPr>
        <w:t xml:space="preserve"> Staff employed by TAFE colleges and universities to coordinate reasonable adjustments for students with disability. </w:t>
      </w:r>
    </w:p>
    <w:p w14:paraId="1D3D083C" w14:textId="77777777" w:rsidR="00E56457" w:rsidRPr="0029003D" w:rsidRDefault="00E56457" w:rsidP="00E56457">
      <w:pPr>
        <w:spacing w:line="276" w:lineRule="auto"/>
        <w:rPr>
          <w:rFonts w:eastAsiaTheme="minorEastAsia" w:cstheme="minorHAnsi"/>
          <w:sz w:val="24"/>
          <w:szCs w:val="24"/>
          <w:lang w:eastAsia="zh-CN"/>
        </w:rPr>
      </w:pPr>
      <w:r w:rsidRPr="0029003D">
        <w:rPr>
          <w:rFonts w:eastAsiaTheme="minorEastAsia" w:cstheme="minorHAnsi"/>
          <w:b/>
          <w:bCs/>
          <w:sz w:val="24"/>
          <w:szCs w:val="24"/>
          <w:lang w:eastAsia="zh-CN"/>
        </w:rPr>
        <w:t>disability advocacy groups:</w:t>
      </w:r>
      <w:r w:rsidRPr="0029003D">
        <w:rPr>
          <w:rFonts w:eastAsiaTheme="minorEastAsia" w:cstheme="minorHAnsi"/>
          <w:sz w:val="24"/>
          <w:szCs w:val="24"/>
          <w:lang w:eastAsia="zh-CN"/>
        </w:rPr>
        <w:t xml:space="preserve"> Groups that defend the human rights of people with disability. They focus on issues that affect the rights of a group, individual or society. Their work can be paid or voluntary.</w:t>
      </w:r>
    </w:p>
    <w:p w14:paraId="4971966D" w14:textId="77777777" w:rsidR="00E56457" w:rsidRPr="0029003D" w:rsidRDefault="00E56457" w:rsidP="00E56457">
      <w:pPr>
        <w:spacing w:line="276" w:lineRule="auto"/>
        <w:rPr>
          <w:rFonts w:eastAsiaTheme="minorEastAsia" w:cstheme="minorHAnsi"/>
          <w:sz w:val="24"/>
          <w:szCs w:val="24"/>
          <w:lang w:eastAsia="zh-CN"/>
        </w:rPr>
      </w:pPr>
      <w:r w:rsidRPr="0029003D">
        <w:rPr>
          <w:rFonts w:eastAsiaTheme="minorEastAsia" w:cstheme="minorHAnsi"/>
          <w:b/>
          <w:bCs/>
          <w:sz w:val="24"/>
          <w:szCs w:val="24"/>
          <w:lang w:eastAsia="zh-CN"/>
        </w:rPr>
        <w:t>inaccessible content:</w:t>
      </w:r>
      <w:r w:rsidRPr="0029003D">
        <w:rPr>
          <w:rFonts w:eastAsiaTheme="minorEastAsia" w:cstheme="minorHAnsi"/>
          <w:sz w:val="24"/>
          <w:szCs w:val="24"/>
          <w:lang w:eastAsia="zh-CN"/>
        </w:rPr>
        <w:t xml:space="preserve"> Information not accessible to people with a disability. For example, visual content such as images or diagrams presented through an online presentation that does not have an alternate text description. </w:t>
      </w:r>
    </w:p>
    <w:p w14:paraId="25A4A905" w14:textId="77777777" w:rsidR="00E56457" w:rsidRPr="0029003D" w:rsidRDefault="00E56457" w:rsidP="00E56457">
      <w:pPr>
        <w:spacing w:line="276" w:lineRule="auto"/>
        <w:rPr>
          <w:rFonts w:eastAsiaTheme="minorEastAsia" w:cstheme="minorHAnsi"/>
          <w:sz w:val="24"/>
          <w:szCs w:val="24"/>
          <w:lang w:eastAsia="zh-CN"/>
        </w:rPr>
      </w:pPr>
      <w:r w:rsidRPr="0029003D">
        <w:rPr>
          <w:rFonts w:eastAsiaTheme="minorEastAsia" w:cstheme="minorHAnsi"/>
          <w:b/>
          <w:bCs/>
          <w:sz w:val="24"/>
          <w:szCs w:val="24"/>
          <w:lang w:eastAsia="zh-CN"/>
        </w:rPr>
        <w:t>OCR software:</w:t>
      </w:r>
      <w:r w:rsidRPr="0029003D">
        <w:rPr>
          <w:rFonts w:eastAsiaTheme="minorEastAsia" w:cstheme="minorHAnsi"/>
          <w:sz w:val="24"/>
          <w:szCs w:val="24"/>
          <w:lang w:eastAsia="zh-CN"/>
        </w:rPr>
        <w:t xml:space="preserve"> Optical character recognition software converts inaccessible text (such as a scanned image of text in a PDF document) to a text document (such as Microsoft Word) that can be read with screen reading software.</w:t>
      </w:r>
    </w:p>
    <w:p w14:paraId="38F4DAFE" w14:textId="77777777" w:rsidR="00E56457" w:rsidRPr="0029003D" w:rsidRDefault="00E56457" w:rsidP="00E56457">
      <w:pPr>
        <w:spacing w:line="276" w:lineRule="auto"/>
        <w:rPr>
          <w:rFonts w:eastAsiaTheme="minorEastAsia" w:cstheme="minorHAnsi"/>
          <w:sz w:val="24"/>
          <w:szCs w:val="24"/>
          <w:lang w:eastAsia="zh-CN"/>
        </w:rPr>
      </w:pPr>
      <w:r w:rsidRPr="0029003D">
        <w:rPr>
          <w:rFonts w:eastAsiaTheme="minorEastAsia" w:cstheme="minorHAnsi"/>
          <w:b/>
          <w:bCs/>
          <w:sz w:val="24"/>
          <w:szCs w:val="24"/>
          <w:lang w:eastAsia="zh-CN"/>
        </w:rPr>
        <w:t>online learning platforms:</w:t>
      </w:r>
      <w:r w:rsidRPr="0029003D">
        <w:rPr>
          <w:rFonts w:eastAsiaTheme="minorEastAsia" w:cstheme="minorHAnsi"/>
          <w:sz w:val="24"/>
          <w:szCs w:val="24"/>
          <w:lang w:eastAsia="zh-CN"/>
        </w:rPr>
        <w:t xml:space="preserve"> Used by tertiary institutions for student services, delivery of learning content and resources for both students and staff.</w:t>
      </w:r>
    </w:p>
    <w:p w14:paraId="24820244" w14:textId="77777777" w:rsidR="00E56457" w:rsidRPr="0029003D" w:rsidRDefault="00E56457" w:rsidP="00E56457">
      <w:pPr>
        <w:spacing w:line="276" w:lineRule="auto"/>
        <w:rPr>
          <w:rFonts w:eastAsiaTheme="minorEastAsia" w:cstheme="minorHAnsi"/>
          <w:sz w:val="24"/>
          <w:szCs w:val="24"/>
          <w:lang w:eastAsia="zh-CN"/>
        </w:rPr>
      </w:pPr>
      <w:r w:rsidRPr="0029003D">
        <w:rPr>
          <w:rFonts w:eastAsiaTheme="minorEastAsia" w:cstheme="minorHAnsi"/>
          <w:b/>
          <w:bCs/>
          <w:sz w:val="24"/>
          <w:szCs w:val="24"/>
          <w:lang w:eastAsia="zh-CN"/>
        </w:rPr>
        <w:t>Universal Design:</w:t>
      </w:r>
      <w:r w:rsidRPr="0029003D">
        <w:rPr>
          <w:rFonts w:eastAsiaTheme="minorEastAsia" w:cstheme="minorHAnsi"/>
          <w:sz w:val="24"/>
          <w:szCs w:val="24"/>
          <w:lang w:eastAsia="zh-CN"/>
        </w:rPr>
        <w:t xml:space="preserve"> The intentional design to maximise access for all people including people with disability.</w:t>
      </w:r>
    </w:p>
    <w:p w14:paraId="2A9DA2D3" w14:textId="77777777" w:rsidR="00E56457" w:rsidRPr="0029003D" w:rsidRDefault="00E56457" w:rsidP="00E56457">
      <w:pPr>
        <w:spacing w:line="276" w:lineRule="auto"/>
        <w:rPr>
          <w:rFonts w:eastAsiaTheme="minorEastAsia" w:cstheme="minorHAnsi"/>
          <w:sz w:val="24"/>
          <w:szCs w:val="24"/>
          <w:lang w:eastAsia="zh-CN"/>
        </w:rPr>
      </w:pPr>
      <w:r w:rsidRPr="0029003D">
        <w:rPr>
          <w:rFonts w:eastAsiaTheme="minorEastAsia" w:cstheme="minorHAnsi"/>
          <w:b/>
          <w:bCs/>
          <w:sz w:val="24"/>
          <w:szCs w:val="24"/>
          <w:lang w:eastAsia="zh-CN"/>
        </w:rPr>
        <w:lastRenderedPageBreak/>
        <w:t>Universal Design for Learning:</w:t>
      </w:r>
      <w:r w:rsidRPr="0029003D">
        <w:rPr>
          <w:rFonts w:eastAsiaTheme="minorEastAsia" w:cstheme="minorHAnsi"/>
          <w:sz w:val="24"/>
          <w:szCs w:val="24"/>
          <w:lang w:eastAsia="zh-CN"/>
        </w:rPr>
        <w:t xml:space="preserve"> An approach to minimise or remove access barriers at the design phase to maximise participation for all learners.</w:t>
      </w:r>
    </w:p>
    <w:p w14:paraId="4A2E6F43" w14:textId="4438F9A2" w:rsidR="00D65389" w:rsidRPr="0029003D" w:rsidRDefault="00D65389" w:rsidP="00E56457">
      <w:pPr>
        <w:spacing w:line="276" w:lineRule="auto"/>
        <w:rPr>
          <w:rFonts w:eastAsiaTheme="minorEastAsia" w:cstheme="minorHAnsi"/>
          <w:b/>
          <w:bCs/>
          <w:sz w:val="24"/>
          <w:szCs w:val="24"/>
          <w:lang w:eastAsia="zh-CN"/>
        </w:rPr>
      </w:pPr>
      <w:r w:rsidRPr="0029003D">
        <w:rPr>
          <w:rFonts w:eastAsiaTheme="minorEastAsia" w:cstheme="minorHAnsi"/>
          <w:b/>
          <w:bCs/>
          <w:sz w:val="24"/>
          <w:szCs w:val="24"/>
          <w:lang w:eastAsia="zh-CN"/>
        </w:rPr>
        <w:t xml:space="preserve">vision impaired or low vision: </w:t>
      </w:r>
      <w:r w:rsidRPr="0029003D">
        <w:rPr>
          <w:rFonts w:eastAsiaTheme="minorEastAsia" w:cstheme="minorHAnsi"/>
          <w:sz w:val="24"/>
          <w:szCs w:val="24"/>
          <w:lang w:eastAsia="zh-CN"/>
        </w:rPr>
        <w:t xml:space="preserve">A person is said to have low vision when they have permanent vision loss that cannot be corrected with glasses and affects their daily functioning (Source: </w:t>
      </w:r>
      <w:hyperlink r:id="rId7" w:history="1">
        <w:r w:rsidRPr="0029003D">
          <w:rPr>
            <w:rStyle w:val="Hyperlink"/>
            <w:rFonts w:eastAsiaTheme="minorEastAsia" w:cstheme="minorHAnsi"/>
            <w:sz w:val="24"/>
            <w:szCs w:val="24"/>
            <w:lang w:eastAsia="zh-CN"/>
          </w:rPr>
          <w:t>Vision Australia</w:t>
        </w:r>
      </w:hyperlink>
      <w:r w:rsidRPr="0029003D">
        <w:rPr>
          <w:rFonts w:eastAsiaTheme="minorEastAsia" w:cstheme="minorHAnsi"/>
          <w:sz w:val="24"/>
          <w:szCs w:val="24"/>
          <w:lang w:eastAsia="zh-CN"/>
        </w:rPr>
        <w:t>).</w:t>
      </w:r>
    </w:p>
    <w:p w14:paraId="7C7C545C" w14:textId="29E20750" w:rsidR="00E56457" w:rsidRPr="0029003D" w:rsidRDefault="00E56457" w:rsidP="00E56457">
      <w:pPr>
        <w:spacing w:line="276" w:lineRule="auto"/>
        <w:rPr>
          <w:rFonts w:eastAsiaTheme="minorEastAsia" w:cstheme="minorHAnsi"/>
          <w:sz w:val="24"/>
          <w:szCs w:val="24"/>
          <w:lang w:eastAsia="zh-CN"/>
        </w:rPr>
      </w:pPr>
      <w:r w:rsidRPr="0029003D">
        <w:rPr>
          <w:rFonts w:eastAsiaTheme="minorEastAsia" w:cstheme="minorHAnsi"/>
          <w:b/>
          <w:bCs/>
          <w:sz w:val="24"/>
          <w:szCs w:val="24"/>
          <w:lang w:eastAsia="zh-CN"/>
        </w:rPr>
        <w:t>Web Content Accessibilities Guidelines (WCAG):</w:t>
      </w:r>
      <w:r w:rsidRPr="0029003D">
        <w:rPr>
          <w:rFonts w:eastAsiaTheme="minorEastAsia" w:cstheme="minorHAnsi"/>
          <w:sz w:val="24"/>
          <w:szCs w:val="24"/>
          <w:lang w:eastAsia="zh-CN"/>
        </w:rPr>
        <w:t xml:space="preserve"> Guidelines developed by the W3C that outline how to make web content more accessible for people with disability. </w:t>
      </w:r>
      <w:r w:rsidR="00D65389" w:rsidRPr="0029003D">
        <w:rPr>
          <w:rFonts w:eastAsiaTheme="minorEastAsia" w:cstheme="minorHAnsi"/>
          <w:sz w:val="24"/>
          <w:szCs w:val="24"/>
          <w:lang w:eastAsia="zh-CN"/>
        </w:rPr>
        <w:t xml:space="preserve">(Source: </w:t>
      </w:r>
      <w:hyperlink r:id="rId8" w:history="1">
        <w:r w:rsidR="00D65389" w:rsidRPr="0029003D">
          <w:rPr>
            <w:rStyle w:val="Hyperlink"/>
            <w:rFonts w:eastAsiaTheme="minorEastAsia" w:cstheme="minorHAnsi"/>
            <w:sz w:val="24"/>
            <w:szCs w:val="24"/>
            <w:lang w:eastAsia="zh-CN"/>
          </w:rPr>
          <w:t>https://www.w3.org/WAI/standards-guidelines/wcag/</w:t>
        </w:r>
      </w:hyperlink>
      <w:r w:rsidR="00D65389" w:rsidRPr="0029003D">
        <w:rPr>
          <w:rFonts w:eastAsiaTheme="minorEastAsia" w:cstheme="minorHAnsi"/>
          <w:sz w:val="24"/>
          <w:szCs w:val="24"/>
          <w:lang w:eastAsia="zh-CN"/>
        </w:rPr>
        <w:t>)</w:t>
      </w:r>
      <w:r w:rsidRPr="0029003D">
        <w:rPr>
          <w:rFonts w:eastAsiaTheme="minorEastAsia" w:cstheme="minorHAnsi"/>
          <w:sz w:val="24"/>
          <w:szCs w:val="24"/>
          <w:lang w:eastAsia="zh-CN"/>
        </w:rPr>
        <w:t xml:space="preserve">  </w:t>
      </w:r>
    </w:p>
    <w:p w14:paraId="48BD5A36" w14:textId="3FAA0538" w:rsidR="00E56457" w:rsidRPr="0029003D" w:rsidRDefault="00E56457" w:rsidP="0029003D">
      <w:pPr>
        <w:pStyle w:val="Heading2"/>
        <w:spacing w:before="240" w:after="120"/>
        <w:rPr>
          <w:b/>
          <w:bCs/>
          <w:sz w:val="32"/>
          <w:szCs w:val="32"/>
          <w:lang w:eastAsia="zh-CN"/>
        </w:rPr>
      </w:pPr>
      <w:bookmarkStart w:id="2" w:name="_Toc88745047"/>
      <w:bookmarkStart w:id="3" w:name="_Toc88745115"/>
      <w:r w:rsidRPr="0029003D">
        <w:rPr>
          <w:b/>
          <w:bCs/>
          <w:sz w:val="32"/>
          <w:szCs w:val="32"/>
          <w:lang w:eastAsia="zh-CN"/>
        </w:rPr>
        <w:t>Abbreviations</w:t>
      </w:r>
      <w:bookmarkEnd w:id="2"/>
      <w:bookmarkEnd w:id="3"/>
    </w:p>
    <w:p w14:paraId="233AAF26" w14:textId="77777777" w:rsidR="00E56457" w:rsidRPr="0029003D" w:rsidRDefault="00E56457" w:rsidP="0029003D">
      <w:pPr>
        <w:spacing w:before="240" w:line="276" w:lineRule="auto"/>
        <w:rPr>
          <w:rFonts w:eastAsiaTheme="minorEastAsia" w:cstheme="minorHAnsi"/>
          <w:sz w:val="24"/>
          <w:szCs w:val="24"/>
          <w:lang w:eastAsia="zh-CN"/>
        </w:rPr>
      </w:pPr>
      <w:r w:rsidRPr="0029003D">
        <w:rPr>
          <w:rFonts w:eastAsiaTheme="minorEastAsia" w:cstheme="minorHAnsi"/>
          <w:sz w:val="24"/>
          <w:szCs w:val="24"/>
          <w:lang w:eastAsia="zh-CN"/>
        </w:rPr>
        <w:t>ADCET: Australian Disability Clearinghouse on Education and Training</w:t>
      </w:r>
    </w:p>
    <w:p w14:paraId="0DF5B485" w14:textId="77777777" w:rsidR="00E56457" w:rsidRPr="0029003D" w:rsidRDefault="00E56457" w:rsidP="00E56457">
      <w:pPr>
        <w:spacing w:line="276" w:lineRule="auto"/>
        <w:rPr>
          <w:rFonts w:eastAsiaTheme="minorEastAsia" w:cstheme="minorHAnsi"/>
          <w:sz w:val="24"/>
          <w:szCs w:val="24"/>
          <w:lang w:eastAsia="zh-CN"/>
        </w:rPr>
      </w:pPr>
      <w:r w:rsidRPr="0029003D">
        <w:rPr>
          <w:rFonts w:eastAsiaTheme="minorEastAsia" w:cstheme="minorHAnsi"/>
          <w:sz w:val="24"/>
          <w:szCs w:val="24"/>
          <w:lang w:eastAsia="zh-CN"/>
        </w:rPr>
        <w:t>DDA: [Australian] Disability Discrimination Act</w:t>
      </w:r>
    </w:p>
    <w:p w14:paraId="261B11C8" w14:textId="77777777" w:rsidR="00E56457" w:rsidRPr="0029003D" w:rsidRDefault="00E56457" w:rsidP="00E56457">
      <w:pPr>
        <w:spacing w:line="276" w:lineRule="auto"/>
        <w:rPr>
          <w:rFonts w:eastAsiaTheme="minorEastAsia" w:cstheme="minorHAnsi"/>
          <w:sz w:val="24"/>
          <w:szCs w:val="24"/>
          <w:lang w:eastAsia="zh-CN"/>
        </w:rPr>
      </w:pPr>
      <w:r w:rsidRPr="0029003D">
        <w:rPr>
          <w:rFonts w:eastAsiaTheme="minorEastAsia" w:cstheme="minorHAnsi"/>
          <w:sz w:val="24"/>
          <w:szCs w:val="24"/>
          <w:lang w:eastAsia="zh-CN"/>
        </w:rPr>
        <w:t>FAQ: frequently asked questions</w:t>
      </w:r>
    </w:p>
    <w:p w14:paraId="7785F9B9" w14:textId="77777777" w:rsidR="00E56457" w:rsidRPr="0029003D" w:rsidRDefault="00E56457" w:rsidP="00E56457">
      <w:pPr>
        <w:spacing w:line="276" w:lineRule="auto"/>
        <w:rPr>
          <w:rFonts w:eastAsiaTheme="minorEastAsia" w:cstheme="minorHAnsi"/>
          <w:sz w:val="24"/>
          <w:szCs w:val="24"/>
          <w:lang w:eastAsia="zh-CN"/>
        </w:rPr>
      </w:pPr>
      <w:r w:rsidRPr="0029003D">
        <w:rPr>
          <w:rFonts w:eastAsiaTheme="minorEastAsia" w:cstheme="minorHAnsi"/>
          <w:sz w:val="24"/>
          <w:szCs w:val="24"/>
          <w:lang w:eastAsia="zh-CN"/>
        </w:rPr>
        <w:t xml:space="preserve">HTML: </w:t>
      </w:r>
      <w:proofErr w:type="spellStart"/>
      <w:r w:rsidRPr="0029003D">
        <w:rPr>
          <w:rFonts w:eastAsiaTheme="minorEastAsia" w:cstheme="minorHAnsi"/>
          <w:sz w:val="24"/>
          <w:szCs w:val="24"/>
          <w:lang w:eastAsia="zh-CN"/>
        </w:rPr>
        <w:t>HyperText</w:t>
      </w:r>
      <w:proofErr w:type="spellEnd"/>
      <w:r w:rsidRPr="0029003D">
        <w:rPr>
          <w:rFonts w:eastAsiaTheme="minorEastAsia" w:cstheme="minorHAnsi"/>
          <w:sz w:val="24"/>
          <w:szCs w:val="24"/>
          <w:lang w:eastAsia="zh-CN"/>
        </w:rPr>
        <w:t xml:space="preserve"> Markup Language</w:t>
      </w:r>
    </w:p>
    <w:p w14:paraId="69CA26C4" w14:textId="77777777" w:rsidR="00E56457" w:rsidRPr="0029003D" w:rsidRDefault="00E56457" w:rsidP="00E56457">
      <w:pPr>
        <w:spacing w:line="276" w:lineRule="auto"/>
        <w:rPr>
          <w:rFonts w:eastAsiaTheme="minorEastAsia" w:cstheme="minorHAnsi"/>
          <w:sz w:val="24"/>
          <w:szCs w:val="24"/>
          <w:lang w:eastAsia="zh-CN"/>
        </w:rPr>
      </w:pPr>
      <w:r w:rsidRPr="0029003D">
        <w:rPr>
          <w:rFonts w:eastAsiaTheme="minorEastAsia" w:cstheme="minorHAnsi"/>
          <w:sz w:val="24"/>
          <w:szCs w:val="24"/>
          <w:lang w:eastAsia="zh-CN"/>
        </w:rPr>
        <w:t>ISO: International Organization for Standardisation</w:t>
      </w:r>
    </w:p>
    <w:p w14:paraId="0B3E1116" w14:textId="77777777" w:rsidR="00E56457" w:rsidRPr="0029003D" w:rsidRDefault="00E56457" w:rsidP="00E56457">
      <w:pPr>
        <w:spacing w:line="276" w:lineRule="auto"/>
        <w:rPr>
          <w:rFonts w:eastAsiaTheme="minorEastAsia" w:cstheme="minorHAnsi"/>
          <w:sz w:val="24"/>
          <w:szCs w:val="24"/>
          <w:lang w:eastAsia="zh-CN"/>
        </w:rPr>
      </w:pPr>
      <w:r w:rsidRPr="0029003D">
        <w:rPr>
          <w:rFonts w:eastAsiaTheme="minorEastAsia" w:cstheme="minorHAnsi"/>
          <w:sz w:val="24"/>
          <w:szCs w:val="24"/>
          <w:lang w:eastAsia="zh-CN"/>
        </w:rPr>
        <w:t xml:space="preserve">JAWS: Job Access </w:t>
      </w:r>
      <w:proofErr w:type="gramStart"/>
      <w:r w:rsidRPr="0029003D">
        <w:rPr>
          <w:rFonts w:eastAsiaTheme="minorEastAsia" w:cstheme="minorHAnsi"/>
          <w:sz w:val="24"/>
          <w:szCs w:val="24"/>
          <w:lang w:eastAsia="zh-CN"/>
        </w:rPr>
        <w:t>With</w:t>
      </w:r>
      <w:proofErr w:type="gramEnd"/>
      <w:r w:rsidRPr="0029003D">
        <w:rPr>
          <w:rFonts w:eastAsiaTheme="minorEastAsia" w:cstheme="minorHAnsi"/>
          <w:sz w:val="24"/>
          <w:szCs w:val="24"/>
          <w:lang w:eastAsia="zh-CN"/>
        </w:rPr>
        <w:t xml:space="preserve"> Speech</w:t>
      </w:r>
    </w:p>
    <w:p w14:paraId="67223156" w14:textId="77777777" w:rsidR="00E56457" w:rsidRPr="0029003D" w:rsidRDefault="00E56457" w:rsidP="00E56457">
      <w:pPr>
        <w:spacing w:line="276" w:lineRule="auto"/>
        <w:rPr>
          <w:rFonts w:eastAsiaTheme="minorEastAsia" w:cstheme="minorHAnsi"/>
          <w:sz w:val="24"/>
          <w:szCs w:val="24"/>
          <w:lang w:eastAsia="zh-CN"/>
        </w:rPr>
      </w:pPr>
      <w:r w:rsidRPr="0029003D">
        <w:rPr>
          <w:rFonts w:eastAsiaTheme="minorEastAsia" w:cstheme="minorHAnsi"/>
          <w:sz w:val="24"/>
          <w:szCs w:val="24"/>
          <w:lang w:eastAsia="zh-CN"/>
        </w:rPr>
        <w:t xml:space="preserve">NVDA: </w:t>
      </w:r>
      <w:proofErr w:type="spellStart"/>
      <w:r w:rsidRPr="0029003D">
        <w:rPr>
          <w:rFonts w:eastAsiaTheme="minorEastAsia" w:cstheme="minorHAnsi"/>
          <w:sz w:val="24"/>
          <w:szCs w:val="24"/>
          <w:lang w:eastAsia="zh-CN"/>
        </w:rPr>
        <w:t>NonVisual</w:t>
      </w:r>
      <w:proofErr w:type="spellEnd"/>
      <w:r w:rsidRPr="0029003D">
        <w:rPr>
          <w:rFonts w:eastAsiaTheme="minorEastAsia" w:cstheme="minorHAnsi"/>
          <w:sz w:val="24"/>
          <w:szCs w:val="24"/>
          <w:lang w:eastAsia="zh-CN"/>
        </w:rPr>
        <w:t xml:space="preserve"> Desktop Access</w:t>
      </w:r>
    </w:p>
    <w:p w14:paraId="25CBA0DD" w14:textId="77777777" w:rsidR="00E56457" w:rsidRPr="0029003D" w:rsidRDefault="00E56457" w:rsidP="00E56457">
      <w:pPr>
        <w:spacing w:line="276" w:lineRule="auto"/>
        <w:rPr>
          <w:rFonts w:eastAsiaTheme="minorEastAsia" w:cstheme="minorHAnsi"/>
          <w:sz w:val="24"/>
          <w:szCs w:val="24"/>
          <w:lang w:eastAsia="zh-CN"/>
        </w:rPr>
      </w:pPr>
      <w:r w:rsidRPr="0029003D">
        <w:rPr>
          <w:rFonts w:eastAsiaTheme="minorEastAsia" w:cstheme="minorHAnsi"/>
          <w:sz w:val="24"/>
          <w:szCs w:val="24"/>
          <w:lang w:eastAsia="zh-CN"/>
        </w:rPr>
        <w:t>OCR: optical character recognition</w:t>
      </w:r>
    </w:p>
    <w:p w14:paraId="0FE6F1FD" w14:textId="77777777" w:rsidR="00E56457" w:rsidRPr="0029003D" w:rsidRDefault="00E56457" w:rsidP="00E56457">
      <w:pPr>
        <w:spacing w:line="276" w:lineRule="auto"/>
        <w:rPr>
          <w:rFonts w:eastAsiaTheme="minorEastAsia" w:cstheme="minorHAnsi"/>
          <w:sz w:val="24"/>
          <w:szCs w:val="24"/>
          <w:lang w:eastAsia="zh-CN"/>
        </w:rPr>
      </w:pPr>
      <w:r w:rsidRPr="0029003D">
        <w:rPr>
          <w:rFonts w:eastAsiaTheme="minorEastAsia" w:cstheme="minorHAnsi"/>
          <w:sz w:val="24"/>
          <w:szCs w:val="24"/>
          <w:lang w:eastAsia="zh-CN"/>
        </w:rPr>
        <w:t>PDF: Portable Document Format</w:t>
      </w:r>
    </w:p>
    <w:p w14:paraId="4CF593A7" w14:textId="77777777" w:rsidR="00E56457" w:rsidRPr="0029003D" w:rsidRDefault="00E56457" w:rsidP="00E56457">
      <w:pPr>
        <w:spacing w:line="276" w:lineRule="auto"/>
        <w:rPr>
          <w:rFonts w:eastAsiaTheme="minorEastAsia" w:cstheme="minorHAnsi"/>
          <w:sz w:val="24"/>
          <w:szCs w:val="24"/>
          <w:lang w:eastAsia="zh-CN"/>
        </w:rPr>
      </w:pPr>
      <w:r w:rsidRPr="0029003D">
        <w:rPr>
          <w:rFonts w:eastAsiaTheme="minorEastAsia" w:cstheme="minorHAnsi"/>
          <w:sz w:val="24"/>
          <w:szCs w:val="24"/>
          <w:lang w:eastAsia="zh-CN"/>
        </w:rPr>
        <w:t>RTO: registered training organisation</w:t>
      </w:r>
    </w:p>
    <w:p w14:paraId="042E3D05" w14:textId="77777777" w:rsidR="00E56457" w:rsidRPr="0029003D" w:rsidRDefault="00E56457" w:rsidP="00E56457">
      <w:pPr>
        <w:spacing w:line="276" w:lineRule="auto"/>
        <w:rPr>
          <w:rFonts w:eastAsiaTheme="minorEastAsia" w:cstheme="minorHAnsi"/>
          <w:sz w:val="24"/>
          <w:szCs w:val="24"/>
          <w:lang w:eastAsia="zh-CN"/>
        </w:rPr>
      </w:pPr>
      <w:r w:rsidRPr="0029003D">
        <w:rPr>
          <w:rFonts w:eastAsiaTheme="minorEastAsia" w:cstheme="minorHAnsi"/>
          <w:sz w:val="24"/>
          <w:szCs w:val="24"/>
          <w:lang w:eastAsia="zh-CN"/>
        </w:rPr>
        <w:t>TAFE: Technical and Further Education</w:t>
      </w:r>
    </w:p>
    <w:p w14:paraId="7CE7AA00" w14:textId="77777777" w:rsidR="00E56457" w:rsidRPr="0029003D" w:rsidRDefault="00E56457" w:rsidP="00E56457">
      <w:pPr>
        <w:spacing w:line="276" w:lineRule="auto"/>
        <w:rPr>
          <w:rFonts w:eastAsiaTheme="minorEastAsia" w:cstheme="minorHAnsi"/>
          <w:sz w:val="24"/>
          <w:szCs w:val="24"/>
          <w:lang w:eastAsia="zh-CN"/>
        </w:rPr>
      </w:pPr>
      <w:r w:rsidRPr="0029003D">
        <w:rPr>
          <w:rFonts w:eastAsiaTheme="minorEastAsia" w:cstheme="minorHAnsi"/>
          <w:sz w:val="24"/>
          <w:szCs w:val="24"/>
          <w:lang w:eastAsia="zh-CN"/>
        </w:rPr>
        <w:t>UDL: Universal Design for Learning</w:t>
      </w:r>
    </w:p>
    <w:p w14:paraId="5E71C340" w14:textId="77777777" w:rsidR="00E56457" w:rsidRPr="0029003D" w:rsidRDefault="00E56457" w:rsidP="00E56457">
      <w:pPr>
        <w:spacing w:line="276" w:lineRule="auto"/>
        <w:rPr>
          <w:rFonts w:eastAsiaTheme="minorEastAsia" w:cstheme="minorHAnsi"/>
          <w:sz w:val="24"/>
          <w:szCs w:val="24"/>
          <w:lang w:eastAsia="zh-CN"/>
        </w:rPr>
      </w:pPr>
      <w:r w:rsidRPr="0029003D">
        <w:rPr>
          <w:rFonts w:eastAsiaTheme="minorEastAsia" w:cstheme="minorHAnsi"/>
          <w:sz w:val="24"/>
          <w:szCs w:val="24"/>
          <w:lang w:eastAsia="zh-CN"/>
        </w:rPr>
        <w:t>UNCRPD: United Nations Convention on the Rights of Persons with Disabilities</w:t>
      </w:r>
    </w:p>
    <w:p w14:paraId="6A2F160A" w14:textId="77777777" w:rsidR="00E56457" w:rsidRPr="0029003D" w:rsidRDefault="00E56457" w:rsidP="00E56457">
      <w:pPr>
        <w:spacing w:line="276" w:lineRule="auto"/>
        <w:rPr>
          <w:rFonts w:eastAsiaTheme="minorEastAsia" w:cstheme="minorHAnsi"/>
          <w:sz w:val="24"/>
          <w:szCs w:val="24"/>
          <w:lang w:eastAsia="zh-CN"/>
        </w:rPr>
      </w:pPr>
      <w:r w:rsidRPr="0029003D">
        <w:rPr>
          <w:rFonts w:eastAsiaTheme="minorEastAsia" w:cstheme="minorHAnsi"/>
          <w:sz w:val="24"/>
          <w:szCs w:val="24"/>
          <w:lang w:eastAsia="zh-CN"/>
        </w:rPr>
        <w:t>WCAG: Web Content Accessibility Guidelines</w:t>
      </w:r>
    </w:p>
    <w:p w14:paraId="43933765" w14:textId="77777777" w:rsidR="009F7C96" w:rsidRPr="0029003D" w:rsidRDefault="00E56457" w:rsidP="0029003D">
      <w:pPr>
        <w:spacing w:line="276" w:lineRule="auto"/>
        <w:rPr>
          <w:rFonts w:cstheme="minorHAnsi"/>
          <w:sz w:val="24"/>
          <w:szCs w:val="24"/>
        </w:rPr>
      </w:pPr>
      <w:r w:rsidRPr="0029003D">
        <w:rPr>
          <w:rFonts w:eastAsiaTheme="minorEastAsia" w:cstheme="minorHAnsi"/>
          <w:sz w:val="24"/>
          <w:szCs w:val="24"/>
          <w:lang w:eastAsia="zh-CN"/>
        </w:rPr>
        <w:t>W3C: World Wide Web Consortium</w:t>
      </w:r>
    </w:p>
    <w:sectPr w:rsidR="009F7C96" w:rsidRPr="0029003D" w:rsidSect="0029003D">
      <w:headerReference w:type="even" r:id="rId9"/>
      <w:headerReference w:type="default" r:id="rId10"/>
      <w:footerReference w:type="even" r:id="rId11"/>
      <w:footerReference w:type="default" r:id="rId12"/>
      <w:headerReference w:type="first" r:id="rId13"/>
      <w:footerReference w:type="first" r:id="rId14"/>
      <w:pgSz w:w="11906" w:h="16838"/>
      <w:pgMar w:top="851" w:right="1558" w:bottom="567" w:left="1276" w:header="708" w:footer="97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EB068" w14:textId="77777777" w:rsidR="00C46D23" w:rsidRDefault="00C46D23" w:rsidP="00E56457">
      <w:pPr>
        <w:spacing w:after="0" w:line="240" w:lineRule="auto"/>
      </w:pPr>
      <w:r>
        <w:separator/>
      </w:r>
    </w:p>
  </w:endnote>
  <w:endnote w:type="continuationSeparator" w:id="0">
    <w:p w14:paraId="07E5B37D" w14:textId="77777777" w:rsidR="00C46D23" w:rsidRDefault="00C46D23" w:rsidP="00E5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8D00" w14:textId="77777777" w:rsidR="00991552" w:rsidRDefault="00991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17547"/>
      <w:docPartObj>
        <w:docPartGallery w:val="Page Numbers (Bottom of Page)"/>
        <w:docPartUnique/>
      </w:docPartObj>
    </w:sdtPr>
    <w:sdtEndPr/>
    <w:sdtContent>
      <w:bookmarkStart w:id="4" w:name="_Hlk93505408" w:displacedByCustomXml="next"/>
      <w:sdt>
        <w:sdtPr>
          <w:id w:val="-1769616900"/>
          <w:docPartObj>
            <w:docPartGallery w:val="Page Numbers (Top of Page)"/>
            <w:docPartUnique/>
          </w:docPartObj>
        </w:sdtPr>
        <w:sdtEndPr/>
        <w:sdtContent>
          <w:p w14:paraId="0466A1FB" w14:textId="77777777" w:rsidR="00E56457" w:rsidRDefault="00E56457" w:rsidP="00E56457">
            <w:pPr>
              <w:pStyle w:val="Footer"/>
              <w:pBdr>
                <w:top w:val="single" w:sz="4" w:space="1" w:color="auto"/>
              </w:pBd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3FAAA9C2" w14:textId="3157BCAE" w:rsidR="00E56457" w:rsidRDefault="00E56457" w:rsidP="00E56457">
            <w:pPr>
              <w:pStyle w:val="Footer"/>
            </w:pPr>
            <w:r w:rsidRPr="00E56457">
              <w:rPr>
                <w:sz w:val="24"/>
                <w:szCs w:val="24"/>
              </w:rPr>
              <w:t xml:space="preserve">ADCET – BVI Guidelines – Glossary </w:t>
            </w:r>
            <w:r w:rsidR="0029003D">
              <w:rPr>
                <w:sz w:val="24"/>
                <w:szCs w:val="24"/>
              </w:rPr>
              <w:t xml:space="preserve">of Terms </w:t>
            </w:r>
            <w:r w:rsidRPr="00E56457">
              <w:rPr>
                <w:sz w:val="24"/>
                <w:szCs w:val="24"/>
              </w:rPr>
              <w:t>and Abbreviations</w:t>
            </w:r>
            <w:r w:rsidR="00991552">
              <w:rPr>
                <w:sz w:val="24"/>
                <w:szCs w:val="24"/>
              </w:rPr>
              <w:t xml:space="preserve"> - 2022</w:t>
            </w:r>
          </w:p>
        </w:sdtContent>
      </w:sdt>
      <w:bookmarkEnd w:id="4" w:displacedByCustomXml="next"/>
    </w:sdtContent>
  </w:sdt>
  <w:p w14:paraId="2B460465" w14:textId="77777777" w:rsidR="00971E50" w:rsidRDefault="008F2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482026"/>
      <w:docPartObj>
        <w:docPartGallery w:val="Page Numbers (Top of Page)"/>
        <w:docPartUnique/>
      </w:docPartObj>
    </w:sdtPr>
    <w:sdtEndPr/>
    <w:sdtContent>
      <w:p w14:paraId="2636D0DA" w14:textId="59F0D301" w:rsidR="0029003D" w:rsidRDefault="0029003D" w:rsidP="0029003D">
        <w:pPr>
          <w:pStyle w:val="Footer"/>
          <w:pBdr>
            <w:top w:val="single" w:sz="4" w:space="1" w:color="auto"/>
          </w:pBdr>
          <w:jc w:val="right"/>
          <w:rPr>
            <w:b/>
            <w:bCs/>
            <w:sz w:val="24"/>
            <w:szCs w:val="24"/>
          </w:rPr>
        </w:pPr>
        <w:r>
          <w:t xml:space="preserve">Page </w:t>
        </w:r>
        <w:r>
          <w:rPr>
            <w:b/>
            <w:bCs/>
            <w:sz w:val="24"/>
            <w:szCs w:val="24"/>
          </w:rPr>
          <w:t xml:space="preserve">1 </w:t>
        </w:r>
        <w:r>
          <w:t xml:space="preserve">of </w:t>
        </w:r>
        <w:r>
          <w:rPr>
            <w:b/>
            <w:bCs/>
            <w:sz w:val="24"/>
            <w:szCs w:val="24"/>
          </w:rPr>
          <w:t>2</w:t>
        </w:r>
      </w:p>
      <w:p w14:paraId="1FF6F8DD" w14:textId="77777777" w:rsidR="0029003D" w:rsidRDefault="0029003D" w:rsidP="0029003D">
        <w:pPr>
          <w:pStyle w:val="Footer"/>
        </w:pPr>
        <w:r w:rsidRPr="00E56457">
          <w:rPr>
            <w:sz w:val="24"/>
            <w:szCs w:val="24"/>
          </w:rPr>
          <w:t xml:space="preserve">ADCET – BVI Guidelines – Glossary </w:t>
        </w:r>
        <w:r>
          <w:rPr>
            <w:sz w:val="24"/>
            <w:szCs w:val="24"/>
          </w:rPr>
          <w:t xml:space="preserve">of Terms </w:t>
        </w:r>
        <w:r w:rsidRPr="00E56457">
          <w:rPr>
            <w:sz w:val="24"/>
            <w:szCs w:val="24"/>
          </w:rPr>
          <w:t>and Abbreviations</w:t>
        </w:r>
      </w:p>
    </w:sdtContent>
  </w:sdt>
  <w:p w14:paraId="4497560C" w14:textId="77777777" w:rsidR="0029003D" w:rsidRPr="0029003D" w:rsidRDefault="0029003D" w:rsidP="00290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3893" w14:textId="77777777" w:rsidR="00C46D23" w:rsidRDefault="00C46D23" w:rsidP="00E56457">
      <w:pPr>
        <w:spacing w:after="0" w:line="240" w:lineRule="auto"/>
      </w:pPr>
      <w:r>
        <w:separator/>
      </w:r>
    </w:p>
  </w:footnote>
  <w:footnote w:type="continuationSeparator" w:id="0">
    <w:p w14:paraId="42A3613B" w14:textId="77777777" w:rsidR="00C46D23" w:rsidRDefault="00C46D23" w:rsidP="00E56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8432" w14:textId="77777777" w:rsidR="00991552" w:rsidRDefault="00991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5CFA" w14:textId="77777777" w:rsidR="00991552" w:rsidRDefault="009915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471A" w14:textId="77777777" w:rsidR="00991552" w:rsidRDefault="009915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57"/>
    <w:rsid w:val="0029003D"/>
    <w:rsid w:val="00326D5C"/>
    <w:rsid w:val="00371100"/>
    <w:rsid w:val="004D0926"/>
    <w:rsid w:val="008F2B8E"/>
    <w:rsid w:val="00991552"/>
    <w:rsid w:val="009F7C96"/>
    <w:rsid w:val="00B82FD4"/>
    <w:rsid w:val="00C46D23"/>
    <w:rsid w:val="00D65389"/>
    <w:rsid w:val="00E564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E9700"/>
  <w15:chartTrackingRefBased/>
  <w15:docId w15:val="{CFB8D90B-887A-4B59-A4DC-AB038BA7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00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00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6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457"/>
  </w:style>
  <w:style w:type="paragraph" w:styleId="Header">
    <w:name w:val="header"/>
    <w:basedOn w:val="Normal"/>
    <w:link w:val="HeaderChar"/>
    <w:uiPriority w:val="99"/>
    <w:unhideWhenUsed/>
    <w:rsid w:val="00E56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457"/>
  </w:style>
  <w:style w:type="character" w:styleId="Hyperlink">
    <w:name w:val="Hyperlink"/>
    <w:basedOn w:val="DefaultParagraphFont"/>
    <w:uiPriority w:val="99"/>
    <w:unhideWhenUsed/>
    <w:rsid w:val="00D65389"/>
    <w:rPr>
      <w:color w:val="0563C1" w:themeColor="hyperlink"/>
      <w:u w:val="single"/>
    </w:rPr>
  </w:style>
  <w:style w:type="character" w:styleId="UnresolvedMention">
    <w:name w:val="Unresolved Mention"/>
    <w:basedOn w:val="DefaultParagraphFont"/>
    <w:uiPriority w:val="99"/>
    <w:semiHidden/>
    <w:unhideWhenUsed/>
    <w:rsid w:val="00D65389"/>
    <w:rPr>
      <w:color w:val="605E5C"/>
      <w:shd w:val="clear" w:color="auto" w:fill="E1DFDD"/>
    </w:rPr>
  </w:style>
  <w:style w:type="character" w:customStyle="1" w:styleId="Heading1Char">
    <w:name w:val="Heading 1 Char"/>
    <w:basedOn w:val="DefaultParagraphFont"/>
    <w:link w:val="Heading1"/>
    <w:uiPriority w:val="9"/>
    <w:rsid w:val="002900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003D"/>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326D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standards-guidelines/wca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visionaustralia.org/information/newly-diagnosed/blindness-and-vision-los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isionaustralia.org/information/newly-diagnosed/blindness-and-vision-los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Cousins</dc:creator>
  <cp:keywords/>
  <dc:description/>
  <cp:lastModifiedBy>Jennifer Cousins</cp:lastModifiedBy>
  <cp:revision>3</cp:revision>
  <dcterms:created xsi:type="dcterms:W3CDTF">2022-01-20T03:15:00Z</dcterms:created>
  <dcterms:modified xsi:type="dcterms:W3CDTF">2022-01-20T03:21:00Z</dcterms:modified>
</cp:coreProperties>
</file>